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3E3B3" w14:textId="77777777" w:rsidR="002908A7" w:rsidRPr="007A3172" w:rsidRDefault="002908A7" w:rsidP="002908A7">
      <w:pPr>
        <w:pStyle w:val="SECCIONES"/>
        <w:rPr>
          <w:sz w:val="36"/>
          <w:szCs w:val="32"/>
        </w:rPr>
      </w:pPr>
      <w:r w:rsidRPr="007A3172">
        <w:rPr>
          <w:sz w:val="36"/>
          <w:szCs w:val="32"/>
        </w:rPr>
        <w:t>Mecanismo de renovación de proyectos de Formación Dual</w:t>
      </w:r>
    </w:p>
    <w:p w14:paraId="78631D45" w14:textId="77777777" w:rsidR="002908A7" w:rsidRPr="002908A7" w:rsidRDefault="002908A7" w:rsidP="002908A7">
      <w:pPr>
        <w:pStyle w:val="SUBTITULOS1"/>
      </w:pPr>
      <w:r w:rsidRPr="002908A7">
        <w:t>¿Qué es el mecanismo de renovación?</w:t>
      </w:r>
    </w:p>
    <w:p w14:paraId="0D66D8B4" w14:textId="77777777" w:rsidR="002908A7" w:rsidRPr="002908A7" w:rsidRDefault="002908A7" w:rsidP="002908A7">
      <w:r w:rsidRPr="002908A7">
        <w:t>El mecanismo de renovación permite que una ECA solicite la continuidad de un proyecto de Formación Dual que haya sido financiado por INEFOP y haya obtenido resultados satisfactorios durante su ejecución.</w:t>
      </w:r>
    </w:p>
    <w:p w14:paraId="3D9435F3" w14:textId="77777777" w:rsidR="002908A7" w:rsidRPr="002908A7" w:rsidRDefault="002908A7" w:rsidP="002908A7">
      <w:pPr>
        <w:spacing w:after="80"/>
      </w:pPr>
      <w:r w:rsidRPr="002908A7">
        <w:t>El mecanismo busca:</w:t>
      </w:r>
    </w:p>
    <w:p w14:paraId="79E68CD5" w14:textId="77777777" w:rsidR="002908A7" w:rsidRPr="002908A7" w:rsidRDefault="002908A7" w:rsidP="002908A7">
      <w:pPr>
        <w:numPr>
          <w:ilvl w:val="0"/>
          <w:numId w:val="12"/>
        </w:numPr>
        <w:spacing w:after="80"/>
      </w:pPr>
      <w:r w:rsidRPr="002908A7">
        <w:t>favorecer la continuidad de experiencias formativas de calidad;</w:t>
      </w:r>
    </w:p>
    <w:p w14:paraId="1CB5B441" w14:textId="77777777" w:rsidR="002908A7" w:rsidRPr="002908A7" w:rsidRDefault="002908A7" w:rsidP="002908A7">
      <w:pPr>
        <w:numPr>
          <w:ilvl w:val="0"/>
          <w:numId w:val="12"/>
        </w:numPr>
        <w:spacing w:after="80"/>
      </w:pPr>
      <w:r w:rsidRPr="002908A7">
        <w:t xml:space="preserve">fortalecer las alianzas entre las </w:t>
      </w:r>
      <w:proofErr w:type="spellStart"/>
      <w:r w:rsidRPr="002908A7">
        <w:t>ECAs</w:t>
      </w:r>
      <w:proofErr w:type="spellEnd"/>
      <w:r w:rsidRPr="002908A7">
        <w:t xml:space="preserve"> y las empresas formadoras;</w:t>
      </w:r>
    </w:p>
    <w:p w14:paraId="431E69F1" w14:textId="77777777" w:rsidR="002908A7" w:rsidRPr="002908A7" w:rsidRDefault="002908A7" w:rsidP="002908A7">
      <w:pPr>
        <w:numPr>
          <w:ilvl w:val="0"/>
          <w:numId w:val="12"/>
        </w:numPr>
        <w:spacing w:after="80"/>
      </w:pPr>
      <w:r w:rsidRPr="002908A7">
        <w:t>reducir los tiempos asociados al diseño y la evaluación de nuevas propuestas.</w:t>
      </w:r>
    </w:p>
    <w:p w14:paraId="00D31F18" w14:textId="77777777" w:rsidR="002908A7" w:rsidRPr="002908A7" w:rsidRDefault="002908A7" w:rsidP="002908A7">
      <w:pPr>
        <w:pStyle w:val="SUBTITULOS1"/>
      </w:pPr>
      <w:r w:rsidRPr="002908A7">
        <w:t>¿Qué proyectos pueden renovarse?</w:t>
      </w:r>
    </w:p>
    <w:p w14:paraId="3E5C8C59" w14:textId="73F5EF64" w:rsidR="002908A7" w:rsidRPr="002908A7" w:rsidRDefault="002908A7" w:rsidP="00976D03">
      <w:pPr>
        <w:spacing w:after="80"/>
      </w:pPr>
      <w:r w:rsidRPr="002908A7">
        <w:t xml:space="preserve">Podrán solicitar la renovación las </w:t>
      </w:r>
      <w:proofErr w:type="spellStart"/>
      <w:r w:rsidRPr="002908A7">
        <w:t>ECAs</w:t>
      </w:r>
      <w:proofErr w:type="spellEnd"/>
      <w:r w:rsidRPr="002908A7">
        <w:t xml:space="preserve"> que hayan ejecutado un proyecto de Formación Dual financiado por INEFOP</w:t>
      </w:r>
      <w:r w:rsidR="00C90083">
        <w:t xml:space="preserve"> y que no</w:t>
      </w:r>
      <w:r w:rsidR="00C90083" w:rsidRPr="002908A7">
        <w:t xml:space="preserve"> registr</w:t>
      </w:r>
      <w:r w:rsidR="00C90083">
        <w:t>en</w:t>
      </w:r>
      <w:r w:rsidR="00C90083" w:rsidRPr="002908A7">
        <w:t xml:space="preserve"> incumplimientos contractuales, administrativos o técnicos con INEFOP durante los últimos doce meses.</w:t>
      </w:r>
    </w:p>
    <w:p w14:paraId="7F8107BF" w14:textId="50EA2278" w:rsidR="002908A7" w:rsidRPr="002908A7" w:rsidRDefault="002908A7" w:rsidP="002908A7">
      <w:r w:rsidRPr="002908A7">
        <w:t>La solicitud deberá presentarse dentro de los 24 meses posteriores a la fecha de finalización del proyecto</w:t>
      </w:r>
      <w:r w:rsidR="002C74F8">
        <w:t xml:space="preserve"> ori</w:t>
      </w:r>
      <w:r w:rsidR="00352265">
        <w:t>ginal</w:t>
      </w:r>
      <w:r w:rsidRPr="002908A7">
        <w:t>.</w:t>
      </w:r>
    </w:p>
    <w:p w14:paraId="141338C1" w14:textId="77777777" w:rsidR="002908A7" w:rsidRPr="002908A7" w:rsidRDefault="002908A7" w:rsidP="002908A7">
      <w:r w:rsidRPr="002908A7">
        <w:t>Cada proyecto podrá renovarse hasta un máximo de dos veces. Una vez vencido el plazo o alcanzado ese máximo, la ECA deberá presentar una nueva postulación mediante el procedimiento regular.</w:t>
      </w:r>
    </w:p>
    <w:p w14:paraId="519728F6" w14:textId="76F9FD68" w:rsidR="00080F18" w:rsidRPr="00080F18" w:rsidRDefault="00080F18" w:rsidP="002908A7">
      <w:pPr>
        <w:rPr>
          <w:b/>
          <w:bCs/>
        </w:rPr>
      </w:pPr>
      <w:r w:rsidRPr="006831F1">
        <w:t>Para solicita la renovación deben completar el formulario al que se accede</w:t>
      </w:r>
      <w:r w:rsidRPr="00080F18">
        <w:rPr>
          <w:b/>
          <w:bCs/>
        </w:rPr>
        <w:t xml:space="preserve"> </w:t>
      </w:r>
      <w:hyperlink r:id="rId11" w:history="1">
        <w:r w:rsidRPr="00DB23A0">
          <w:rPr>
            <w:rStyle w:val="Hipervnculo"/>
            <w:b/>
            <w:bCs/>
          </w:rPr>
          <w:t>aquí</w:t>
        </w:r>
      </w:hyperlink>
      <w:r w:rsidRPr="00080F18">
        <w:rPr>
          <w:b/>
          <w:bCs/>
        </w:rPr>
        <w:t>.</w:t>
      </w:r>
    </w:p>
    <w:p w14:paraId="4074FC16" w14:textId="77777777" w:rsidR="002908A7" w:rsidRPr="002908A7" w:rsidRDefault="002908A7" w:rsidP="002908A7">
      <w:pPr>
        <w:pStyle w:val="SUBTITULOS1"/>
      </w:pPr>
      <w:r w:rsidRPr="002908A7">
        <w:t>¿Qué condiciones debe cumplir el proyecto?</w:t>
      </w:r>
    </w:p>
    <w:p w14:paraId="62F7A5C4" w14:textId="77777777" w:rsidR="002908A7" w:rsidRPr="002908A7" w:rsidRDefault="002908A7" w:rsidP="002908A7">
      <w:r w:rsidRPr="002908A7">
        <w:t>Para acceder al mecanismo, el proyecto deberá cumplir las siguientes condiciones:</w:t>
      </w:r>
    </w:p>
    <w:p w14:paraId="259F93F1" w14:textId="1A7BD4C5" w:rsidR="00570846" w:rsidRDefault="002908A7" w:rsidP="00D63AC1">
      <w:pPr>
        <w:spacing w:after="80"/>
      </w:pPr>
      <w:r w:rsidRPr="002908A7">
        <w:t>Contar con un resultado satisfactorio de ejecución, acreditado mediante el Informe de Supervisión Final.</w:t>
      </w:r>
      <w:r w:rsidR="00570846">
        <w:t xml:space="preserve"> El resultado se considera satisfactorio si: (a) todas las dimensiones supervisadas tengan una valoración de nivel 3 o superior; y (b)el resultado final alcance al menos el 70 % del puntaje disponible.</w:t>
      </w:r>
    </w:p>
    <w:p w14:paraId="1E660AC2" w14:textId="6C8D13E4" w:rsidR="00193DCC" w:rsidRPr="002908A7" w:rsidRDefault="002908A7" w:rsidP="00193DCC">
      <w:pPr>
        <w:spacing w:after="80"/>
      </w:pPr>
      <w:r w:rsidRPr="002908A7">
        <w:t xml:space="preserve">Mantener la alianza con </w:t>
      </w:r>
      <w:r w:rsidR="007A6C34">
        <w:t>al menos una de las</w:t>
      </w:r>
      <w:r w:rsidRPr="002908A7">
        <w:t xml:space="preserve"> empresas que participaron en el proyecto original.</w:t>
      </w:r>
      <w:r w:rsidR="00193DCC">
        <w:t xml:space="preserve"> </w:t>
      </w:r>
      <w:r w:rsidR="00193DCC" w:rsidRPr="002908A7">
        <w:t>Presenta</w:t>
      </w:r>
      <w:r w:rsidR="00193DCC">
        <w:t>ndo</w:t>
      </w:r>
      <w:r w:rsidR="00193DCC" w:rsidRPr="002908A7">
        <w:t xml:space="preserve"> notas de compromiso vigentes</w:t>
      </w:r>
      <w:r w:rsidR="00193DCC">
        <w:t xml:space="preserve"> con</w:t>
      </w:r>
      <w:r w:rsidR="00193DCC" w:rsidRPr="002908A7">
        <w:t xml:space="preserve"> esas empresas</w:t>
      </w:r>
      <w:r w:rsidR="00BC1933">
        <w:t xml:space="preserve">. </w:t>
      </w:r>
      <w:r w:rsidR="00BC1933" w:rsidRPr="00BC1933">
        <w:t>Asimismo, podrán incorporarse nuevas empresas formadoras, debiendo presentarse las respectivas notas de compromiso.</w:t>
      </w:r>
    </w:p>
    <w:p w14:paraId="757DCDEE" w14:textId="77777777" w:rsidR="002908A7" w:rsidRPr="002908A7" w:rsidRDefault="002908A7" w:rsidP="00570846">
      <w:pPr>
        <w:pStyle w:val="SUBTITULOS1"/>
      </w:pPr>
      <w:r w:rsidRPr="002908A7">
        <w:t>¿El proyecto debe mantenerse igual?</w:t>
      </w:r>
    </w:p>
    <w:p w14:paraId="76520923" w14:textId="77777777" w:rsidR="002908A7" w:rsidRPr="002908A7" w:rsidRDefault="002908A7" w:rsidP="002908A7">
      <w:r w:rsidRPr="002908A7">
        <w:t>La renovación supone la continuidad del proyecto y, por lo tanto, deberán mantenerse su diseño y las características sustantivas por las que fue recomendado.</w:t>
      </w:r>
    </w:p>
    <w:p w14:paraId="44357049" w14:textId="77777777" w:rsidR="002908A7" w:rsidRPr="002908A7" w:rsidRDefault="002908A7" w:rsidP="00570846">
      <w:pPr>
        <w:spacing w:after="80"/>
      </w:pPr>
      <w:r w:rsidRPr="002908A7">
        <w:lastRenderedPageBreak/>
        <w:t>Podrán realizarse ajustes en:</w:t>
      </w:r>
    </w:p>
    <w:p w14:paraId="51218200" w14:textId="77777777" w:rsidR="002908A7" w:rsidRPr="002908A7" w:rsidRDefault="002908A7" w:rsidP="00570846">
      <w:pPr>
        <w:numPr>
          <w:ilvl w:val="0"/>
          <w:numId w:val="15"/>
        </w:numPr>
        <w:spacing w:after="80"/>
      </w:pPr>
      <w:r w:rsidRPr="002908A7">
        <w:t>la integración del equipo técnico;</w:t>
      </w:r>
    </w:p>
    <w:p w14:paraId="0D851FE8" w14:textId="77777777" w:rsidR="002908A7" w:rsidRPr="002908A7" w:rsidRDefault="002908A7" w:rsidP="00570846">
      <w:pPr>
        <w:numPr>
          <w:ilvl w:val="0"/>
          <w:numId w:val="15"/>
        </w:numPr>
        <w:spacing w:after="80"/>
      </w:pPr>
      <w:r w:rsidRPr="002908A7">
        <w:t>la localidad de ejecución;</w:t>
      </w:r>
    </w:p>
    <w:p w14:paraId="4725BBF5" w14:textId="77777777" w:rsidR="002908A7" w:rsidRPr="002908A7" w:rsidRDefault="002908A7" w:rsidP="00570846">
      <w:pPr>
        <w:numPr>
          <w:ilvl w:val="0"/>
          <w:numId w:val="15"/>
        </w:numPr>
        <w:spacing w:after="80"/>
      </w:pPr>
      <w:r w:rsidRPr="002908A7">
        <w:t>la cantidad de aprendices;</w:t>
      </w:r>
    </w:p>
    <w:p w14:paraId="0DA87415" w14:textId="77777777" w:rsidR="002908A7" w:rsidRPr="002908A7" w:rsidRDefault="002908A7" w:rsidP="00570846">
      <w:pPr>
        <w:numPr>
          <w:ilvl w:val="0"/>
          <w:numId w:val="15"/>
        </w:numPr>
        <w:spacing w:after="80"/>
      </w:pPr>
      <w:r w:rsidRPr="002908A7">
        <w:t>las cargas horarias de formación en aula y de trabajo en la empresa.</w:t>
      </w:r>
    </w:p>
    <w:p w14:paraId="127A0773" w14:textId="77777777" w:rsidR="002908A7" w:rsidRPr="002908A7" w:rsidRDefault="002908A7" w:rsidP="00570846">
      <w:pPr>
        <w:spacing w:before="240"/>
      </w:pPr>
      <w:r w:rsidRPr="002908A7">
        <w:t>La cantidad de aprendices y las cargas horarias deberán respetar los mínimos y máximos establecidos en los Términos de Referencia vigentes. Las cargas horarias podrán modificarse hasta un 10 % respecto del proyecto original.</w:t>
      </w:r>
    </w:p>
    <w:p w14:paraId="6E7C74A2" w14:textId="77777777" w:rsidR="002908A7" w:rsidRPr="002908A7" w:rsidRDefault="002908A7" w:rsidP="002908A7">
      <w:r w:rsidRPr="002908A7">
        <w:t>Las demás características del proyecto solo podrán modificarse cuando el cambio responda a observaciones formuladas en el Informe de Supervisión Final.</w:t>
      </w:r>
    </w:p>
    <w:p w14:paraId="37934AFC" w14:textId="4222DCBB" w:rsidR="002908A7" w:rsidRPr="002908A7" w:rsidRDefault="002908A7" w:rsidP="00412C0E">
      <w:pPr>
        <w:pStyle w:val="SUBTITULOS1"/>
      </w:pPr>
      <w:r w:rsidRPr="002908A7">
        <w:t>¿Qué ocurre con el presupuesto</w:t>
      </w:r>
      <w:r w:rsidR="00412C0E">
        <w:t xml:space="preserve"> del proyecto</w:t>
      </w:r>
      <w:r w:rsidRPr="002908A7">
        <w:t>?</w:t>
      </w:r>
    </w:p>
    <w:p w14:paraId="28B08130" w14:textId="615FA3EA" w:rsidR="002908A7" w:rsidRPr="002908A7" w:rsidRDefault="002908A7" w:rsidP="002908A7">
      <w:r w:rsidRPr="002908A7">
        <w:t xml:space="preserve">La ECA deberá presentar </w:t>
      </w:r>
      <w:r w:rsidR="00412C0E">
        <w:t xml:space="preserve">la </w:t>
      </w:r>
      <w:r w:rsidRPr="002908A7">
        <w:t>planilla de presupuesto, utilizando el formato establecido por INEFOP y respetando los topes definidos en los Términos de Referencia vigentes.</w:t>
      </w:r>
    </w:p>
    <w:p w14:paraId="1658C789" w14:textId="77777777" w:rsidR="002908A7" w:rsidRPr="002908A7" w:rsidRDefault="002908A7" w:rsidP="002908A7">
      <w:r w:rsidRPr="002908A7">
        <w:t>El presupuesto deberá ser coherente con los ajustes pedagógicos y operativos propuestos y no podrá incluir incrementos injustificados.</w:t>
      </w:r>
    </w:p>
    <w:p w14:paraId="66EB95FA" w14:textId="77777777" w:rsidR="002908A7" w:rsidRPr="002908A7" w:rsidRDefault="002908A7" w:rsidP="002908A7">
      <w:r w:rsidRPr="002908A7">
        <w:t>INEFOP podrá solicitar aclaraciones, modificaciones o la eliminación de rubros. Si luego de la instancia de corrección el presupuesto mantiene inconsistencias, incrementos injustificados o rubros no admitidos, la solicitud de renovación será desestimada.</w:t>
      </w:r>
    </w:p>
    <w:p w14:paraId="76E59566" w14:textId="77777777" w:rsidR="002908A7" w:rsidRPr="002908A7" w:rsidRDefault="002908A7" w:rsidP="00412C0E">
      <w:pPr>
        <w:pStyle w:val="SUBTITULOS1"/>
      </w:pPr>
      <w:r w:rsidRPr="002908A7">
        <w:t>¿Cómo se solicita la renovación?</w:t>
      </w:r>
    </w:p>
    <w:p w14:paraId="60A15460" w14:textId="6108F549" w:rsidR="002908A7" w:rsidRPr="002908A7" w:rsidRDefault="002908A7" w:rsidP="002908A7">
      <w:r w:rsidRPr="002908A7">
        <w:t xml:space="preserve">La ECA deberá completar el </w:t>
      </w:r>
      <w:hyperlink r:id="rId12" w:history="1">
        <w:r w:rsidRPr="00DB23A0">
          <w:rPr>
            <w:rStyle w:val="Hipervnculo"/>
          </w:rPr>
          <w:t>formulario de solicitud de renovación</w:t>
        </w:r>
      </w:hyperlink>
      <w:r w:rsidRPr="002908A7">
        <w:t xml:space="preserve"> dispuesto por INEFOP.</w:t>
      </w:r>
    </w:p>
    <w:p w14:paraId="282EDD7D" w14:textId="77777777" w:rsidR="002908A7" w:rsidRPr="002908A7" w:rsidRDefault="002908A7" w:rsidP="002908A7">
      <w:r w:rsidRPr="002908A7">
        <w:t xml:space="preserve">Además, deberá enviar a </w:t>
      </w:r>
      <w:hyperlink r:id="rId13" w:history="1">
        <w:r w:rsidRPr="002908A7">
          <w:rPr>
            <w:rStyle w:val="Hipervnculo"/>
            <w:b/>
            <w:bCs/>
          </w:rPr>
          <w:t>adquisiciones@inefop.org.uy</w:t>
        </w:r>
      </w:hyperlink>
      <w:r w:rsidRPr="002908A7">
        <w:t>:</w:t>
      </w:r>
    </w:p>
    <w:p w14:paraId="28F3CC7E" w14:textId="77777777" w:rsidR="002908A7" w:rsidRPr="002908A7" w:rsidRDefault="002908A7" w:rsidP="00412C0E">
      <w:pPr>
        <w:numPr>
          <w:ilvl w:val="0"/>
          <w:numId w:val="16"/>
        </w:numPr>
        <w:spacing w:after="80"/>
        <w:ind w:left="714" w:hanging="357"/>
      </w:pPr>
      <w:r w:rsidRPr="002908A7">
        <w:t>las notas de compromiso actualizadas de las empresas participantes;</w:t>
      </w:r>
    </w:p>
    <w:p w14:paraId="2BF8CD93" w14:textId="77777777" w:rsidR="002908A7" w:rsidRPr="002908A7" w:rsidRDefault="002908A7" w:rsidP="00412C0E">
      <w:pPr>
        <w:numPr>
          <w:ilvl w:val="0"/>
          <w:numId w:val="16"/>
        </w:numPr>
        <w:spacing w:after="80"/>
        <w:ind w:left="714" w:hanging="357"/>
      </w:pPr>
      <w:r w:rsidRPr="002908A7">
        <w:t>la planilla de presupuesto actualizada.</w:t>
      </w:r>
    </w:p>
    <w:p w14:paraId="02F3450A" w14:textId="77777777" w:rsidR="002908A7" w:rsidRPr="002908A7" w:rsidRDefault="002908A7" w:rsidP="00412C0E">
      <w:pPr>
        <w:spacing w:before="360" w:after="80"/>
      </w:pPr>
      <w:r w:rsidRPr="002908A7">
        <w:t>Las notas de compromiso deberán:</w:t>
      </w:r>
    </w:p>
    <w:p w14:paraId="49AC52CB" w14:textId="2537D934" w:rsidR="002908A7" w:rsidRPr="002908A7" w:rsidRDefault="002908A7" w:rsidP="00412C0E">
      <w:pPr>
        <w:numPr>
          <w:ilvl w:val="0"/>
          <w:numId w:val="17"/>
        </w:numPr>
        <w:spacing w:after="80"/>
      </w:pPr>
      <w:r w:rsidRPr="002908A7">
        <w:t xml:space="preserve">corresponder a las mismas empresas que participaron en el proyecto </w:t>
      </w:r>
      <w:r w:rsidRPr="00EC7853">
        <w:t>original</w:t>
      </w:r>
      <w:r w:rsidR="00EC7853">
        <w:t xml:space="preserve">, </w:t>
      </w:r>
      <w:r w:rsidR="00EC7853" w:rsidRPr="00EC7853">
        <w:t>sin perjuicio de poder incorporar nuevas empresas formadoras;</w:t>
      </w:r>
    </w:p>
    <w:p w14:paraId="72F11E7F" w14:textId="77777777" w:rsidR="002908A7" w:rsidRPr="002908A7" w:rsidRDefault="002908A7" w:rsidP="00412C0E">
      <w:pPr>
        <w:numPr>
          <w:ilvl w:val="0"/>
          <w:numId w:val="17"/>
        </w:numPr>
        <w:spacing w:after="80"/>
      </w:pPr>
      <w:r w:rsidRPr="002908A7">
        <w:t>utilizar el formato establecido por INEFOP;</w:t>
      </w:r>
    </w:p>
    <w:p w14:paraId="272BDC6F" w14:textId="77777777" w:rsidR="002908A7" w:rsidRPr="002908A7" w:rsidRDefault="002908A7" w:rsidP="00412C0E">
      <w:pPr>
        <w:numPr>
          <w:ilvl w:val="0"/>
          <w:numId w:val="17"/>
        </w:numPr>
        <w:spacing w:after="80"/>
      </w:pPr>
      <w:r w:rsidRPr="002908A7">
        <w:t>contener todos los campos requeridos;</w:t>
      </w:r>
    </w:p>
    <w:p w14:paraId="58B4502F" w14:textId="77777777" w:rsidR="002908A7" w:rsidRPr="002908A7" w:rsidRDefault="002908A7" w:rsidP="002908A7">
      <w:pPr>
        <w:numPr>
          <w:ilvl w:val="0"/>
          <w:numId w:val="17"/>
        </w:numPr>
      </w:pPr>
      <w:r w:rsidRPr="002908A7">
        <w:t>haber sido emitidas dentro de los tres meses anteriores a la presentación de la solicitud.</w:t>
      </w:r>
    </w:p>
    <w:p w14:paraId="18750E51" w14:textId="77777777" w:rsidR="002908A7" w:rsidRPr="002908A7" w:rsidRDefault="002908A7" w:rsidP="002908A7">
      <w:r w:rsidRPr="002908A7">
        <w:t xml:space="preserve">Los currículums actualizados de todos los integrantes del equipo técnico deberán estar cargados en la sección </w:t>
      </w:r>
      <w:r w:rsidRPr="00412C0E">
        <w:rPr>
          <w:b/>
          <w:bCs/>
          <w:i/>
          <w:iCs/>
        </w:rPr>
        <w:t>Docentes</w:t>
      </w:r>
      <w:r w:rsidRPr="002908A7">
        <w:t xml:space="preserve"> del perfil de la ECA en la plataforma Gestión INEFOP.</w:t>
      </w:r>
    </w:p>
    <w:p w14:paraId="5DB2FAD6" w14:textId="77777777" w:rsidR="002908A7" w:rsidRPr="002908A7" w:rsidRDefault="002908A7" w:rsidP="002908A7">
      <w:r w:rsidRPr="002908A7">
        <w:t>La presentación de la solicitud no implica la aprobación de la renovación.</w:t>
      </w:r>
    </w:p>
    <w:p w14:paraId="364DD389" w14:textId="77777777" w:rsidR="002908A7" w:rsidRPr="002908A7" w:rsidRDefault="002908A7" w:rsidP="00412C0E">
      <w:pPr>
        <w:pStyle w:val="SUBTITULOS1"/>
      </w:pPr>
      <w:r w:rsidRPr="002908A7">
        <w:t>¿Cómo se evalúa el equipo técnico?</w:t>
      </w:r>
    </w:p>
    <w:p w14:paraId="62B908E8" w14:textId="57086035" w:rsidR="002908A7" w:rsidRPr="002908A7" w:rsidRDefault="002908A7" w:rsidP="002908A7">
      <w:r w:rsidRPr="002908A7">
        <w:lastRenderedPageBreak/>
        <w:t>INEFOP evaluará al equipo técnico utilizando la grilla de evaluación</w:t>
      </w:r>
      <w:r w:rsidR="00976D03">
        <w:t xml:space="preserve"> que se anexa a los materiales del mecanismo de renovación</w:t>
      </w:r>
      <w:r w:rsidRPr="002908A7">
        <w:t>.</w:t>
      </w:r>
    </w:p>
    <w:p w14:paraId="6F9799D3" w14:textId="4837E9D0" w:rsidR="002908A7" w:rsidRPr="002908A7" w:rsidRDefault="002908A7" w:rsidP="002908A7">
      <w:r w:rsidRPr="002908A7">
        <w:t xml:space="preserve">Para continuar con el proceso de renovación, el equipo deberá alcanzar al menos el 60 % del puntaje </w:t>
      </w:r>
      <w:r w:rsidR="000C07CE">
        <w:t xml:space="preserve">de la </w:t>
      </w:r>
      <w:r w:rsidRPr="002908A7">
        <w:t>dimensión</w:t>
      </w:r>
      <w:r w:rsidR="000C07CE">
        <w:t xml:space="preserve"> Equipo del Proyecto de la grilla</w:t>
      </w:r>
      <w:r w:rsidRPr="002908A7">
        <w:t>.</w:t>
      </w:r>
    </w:p>
    <w:p w14:paraId="25F522EC" w14:textId="77777777" w:rsidR="002908A7" w:rsidRPr="002908A7" w:rsidRDefault="002908A7" w:rsidP="006831F1">
      <w:pPr>
        <w:spacing w:after="40"/>
      </w:pPr>
      <w:r w:rsidRPr="002908A7">
        <w:t>En el formulario deberán identificarse todos los integrantes del proyecto, incluyendo:</w:t>
      </w:r>
    </w:p>
    <w:p w14:paraId="48498788" w14:textId="77777777" w:rsidR="002908A7" w:rsidRPr="002908A7" w:rsidRDefault="002908A7" w:rsidP="006831F1">
      <w:pPr>
        <w:numPr>
          <w:ilvl w:val="0"/>
          <w:numId w:val="18"/>
        </w:numPr>
        <w:spacing w:after="40"/>
      </w:pPr>
      <w:r w:rsidRPr="002908A7">
        <w:t>coordinación técnica;</w:t>
      </w:r>
    </w:p>
    <w:p w14:paraId="2AE2F2F2" w14:textId="77777777" w:rsidR="002908A7" w:rsidRPr="002908A7" w:rsidRDefault="002908A7" w:rsidP="006831F1">
      <w:pPr>
        <w:numPr>
          <w:ilvl w:val="0"/>
          <w:numId w:val="18"/>
        </w:numPr>
        <w:spacing w:after="40"/>
      </w:pPr>
      <w:r w:rsidRPr="002908A7">
        <w:t>referentes educativos;</w:t>
      </w:r>
    </w:p>
    <w:p w14:paraId="5F8EF04D" w14:textId="1090104B" w:rsidR="002908A7" w:rsidRPr="002908A7" w:rsidRDefault="002908A7" w:rsidP="006831F1">
      <w:pPr>
        <w:numPr>
          <w:ilvl w:val="0"/>
          <w:numId w:val="18"/>
        </w:numPr>
        <w:spacing w:after="40"/>
        <w:ind w:left="714" w:hanging="357"/>
      </w:pPr>
      <w:r w:rsidRPr="002908A7">
        <w:t>tutores de las empresas</w:t>
      </w:r>
      <w:r w:rsidR="00BC64C9">
        <w:t>;</w:t>
      </w:r>
    </w:p>
    <w:p w14:paraId="5E8E5549" w14:textId="4CE24155" w:rsidR="00BC64C9" w:rsidRPr="002908A7" w:rsidRDefault="00BC64C9" w:rsidP="00976D03">
      <w:pPr>
        <w:numPr>
          <w:ilvl w:val="0"/>
          <w:numId w:val="18"/>
        </w:numPr>
      </w:pPr>
      <w:r>
        <w:t>docentes de aula.</w:t>
      </w:r>
    </w:p>
    <w:p w14:paraId="09A59145" w14:textId="77777777" w:rsidR="002908A7" w:rsidRPr="002908A7" w:rsidRDefault="002908A7" w:rsidP="00412C0E">
      <w:pPr>
        <w:pStyle w:val="SUBTITULOS1"/>
      </w:pPr>
      <w:r w:rsidRPr="002908A7">
        <w:t>¿Cómo se comunican las observaciones del Informe de Supervisión?</w:t>
      </w:r>
    </w:p>
    <w:p w14:paraId="2FC2A8A2" w14:textId="7D432F13" w:rsidR="002908A7" w:rsidRPr="002908A7" w:rsidRDefault="002908A7" w:rsidP="002908A7">
      <w:r w:rsidRPr="002908A7">
        <w:t>Cuando se presente la solicitud</w:t>
      </w:r>
      <w:r w:rsidR="00412C0E">
        <w:t xml:space="preserve"> de renovación</w:t>
      </w:r>
      <w:r w:rsidRPr="002908A7">
        <w:t>, INEFOP verificará el Informe de Supervisión Final del proyecto.</w:t>
      </w:r>
      <w:r w:rsidR="000C07CE">
        <w:t xml:space="preserve"> En caso de no existir, el proyecto no podrá continuar el proceso de renovación.</w:t>
      </w:r>
    </w:p>
    <w:p w14:paraId="59CC1AE7" w14:textId="77777777" w:rsidR="002908A7" w:rsidRPr="002908A7" w:rsidRDefault="002908A7" w:rsidP="002908A7">
      <w:r w:rsidRPr="002908A7">
        <w:t>Si el informe incluye observaciones, se solicitará a la ECA un plan de acciones correctivas, mediante un formato proporcionado por INEFOP.</w:t>
      </w:r>
    </w:p>
    <w:p w14:paraId="0630F7C6" w14:textId="77777777" w:rsidR="002908A7" w:rsidRPr="002908A7" w:rsidRDefault="002908A7" w:rsidP="006831F1">
      <w:pPr>
        <w:spacing w:after="40"/>
      </w:pPr>
      <w:r w:rsidRPr="002908A7">
        <w:t>Para cada observación, la propuesta deberá indicar:</w:t>
      </w:r>
    </w:p>
    <w:p w14:paraId="1F9E10F7" w14:textId="77777777" w:rsidR="002908A7" w:rsidRPr="002908A7" w:rsidRDefault="002908A7" w:rsidP="006831F1">
      <w:pPr>
        <w:numPr>
          <w:ilvl w:val="0"/>
          <w:numId w:val="19"/>
        </w:numPr>
        <w:spacing w:after="40"/>
      </w:pPr>
      <w:r w:rsidRPr="002908A7">
        <w:t>las acciones previstas;</w:t>
      </w:r>
    </w:p>
    <w:p w14:paraId="0DFDA9C0" w14:textId="77777777" w:rsidR="002908A7" w:rsidRPr="002908A7" w:rsidRDefault="002908A7" w:rsidP="006831F1">
      <w:pPr>
        <w:numPr>
          <w:ilvl w:val="0"/>
          <w:numId w:val="19"/>
        </w:numPr>
        <w:spacing w:after="40"/>
      </w:pPr>
      <w:r w:rsidRPr="002908A7">
        <w:t>el cronograma de implementación;</w:t>
      </w:r>
    </w:p>
    <w:p w14:paraId="5765F24E" w14:textId="77777777" w:rsidR="002908A7" w:rsidRPr="002908A7" w:rsidRDefault="002908A7" w:rsidP="006831F1">
      <w:pPr>
        <w:numPr>
          <w:ilvl w:val="0"/>
          <w:numId w:val="19"/>
        </w:numPr>
        <w:spacing w:after="40"/>
      </w:pPr>
      <w:r w:rsidRPr="002908A7">
        <w:t>las evidencias que permitirán verificar su cumplimiento;</w:t>
      </w:r>
    </w:p>
    <w:p w14:paraId="7D0D8614" w14:textId="77777777" w:rsidR="002908A7" w:rsidRPr="002908A7" w:rsidRDefault="002908A7" w:rsidP="002908A7">
      <w:pPr>
        <w:numPr>
          <w:ilvl w:val="0"/>
          <w:numId w:val="19"/>
        </w:numPr>
      </w:pPr>
      <w:r w:rsidRPr="002908A7">
        <w:t>la persona responsable de su ejecución y seguimiento.</w:t>
      </w:r>
    </w:p>
    <w:p w14:paraId="0ADDB51D" w14:textId="77777777" w:rsidR="002908A7" w:rsidRPr="002908A7" w:rsidRDefault="002908A7" w:rsidP="002908A7">
      <w:r w:rsidRPr="002908A7">
        <w:t>Las acciones deberán ser pertinentes, verificables y coherentes con el diseño original del proyecto.</w:t>
      </w:r>
    </w:p>
    <w:p w14:paraId="7679D925" w14:textId="5DFC1F52" w:rsidR="002908A7" w:rsidRPr="002908A7" w:rsidRDefault="002908A7" w:rsidP="00BE6CF3">
      <w:pPr>
        <w:pStyle w:val="SUBTITULOS1"/>
      </w:pPr>
      <w:r w:rsidRPr="002908A7">
        <w:t xml:space="preserve">¿Qué sucede si </w:t>
      </w:r>
      <w:r w:rsidR="00080E92">
        <w:t>INEFOP hace observaciones a la documentación enviada?</w:t>
      </w:r>
    </w:p>
    <w:p w14:paraId="3B8C68D0" w14:textId="0A7ADCF7" w:rsidR="002908A7" w:rsidRPr="002908A7" w:rsidRDefault="002908A7" w:rsidP="002908A7">
      <w:r w:rsidRPr="002908A7">
        <w:t>Si la revisión del presupuesto</w:t>
      </w:r>
      <w:r w:rsidR="00DB1078">
        <w:t>, el equipo técnico</w:t>
      </w:r>
      <w:r w:rsidRPr="002908A7">
        <w:t xml:space="preserve"> o del plan de acciones correctivas</w:t>
      </w:r>
      <w:r w:rsidR="00080E92">
        <w:t xml:space="preserve"> de las observaciones surgidas en la supervisión</w:t>
      </w:r>
      <w:r w:rsidRPr="002908A7">
        <w:t xml:space="preserve"> </w:t>
      </w:r>
      <w:r w:rsidR="00080E92">
        <w:t xml:space="preserve">resulta </w:t>
      </w:r>
      <w:r w:rsidRPr="002908A7">
        <w:t>insuficiente, la ECA tendrá una única oportunidad para reformular la información presentada.</w:t>
      </w:r>
    </w:p>
    <w:p w14:paraId="149DBD85" w14:textId="77777777" w:rsidR="002908A7" w:rsidRPr="002908A7" w:rsidRDefault="002908A7" w:rsidP="002908A7">
      <w:r w:rsidRPr="002908A7">
        <w:t>El plazo para enviar la reformulación finalizará cuando las notas de compromiso de las empresas alcancen los tres meses de antigüedad desde su fecha de emisión.</w:t>
      </w:r>
    </w:p>
    <w:p w14:paraId="027C5583" w14:textId="77777777" w:rsidR="002908A7" w:rsidRDefault="002908A7" w:rsidP="002908A7">
      <w:r w:rsidRPr="002908A7">
        <w:t>Si luego de la nueva revisión persisten las observaciones, la ECA deberá presentar un nuevo proyecto mediante el procedimiento regular de postulación.</w:t>
      </w:r>
    </w:p>
    <w:p w14:paraId="6440ACCF" w14:textId="6B91C35B" w:rsidR="00351701" w:rsidRPr="002908A7" w:rsidRDefault="00351701" w:rsidP="002908A7">
      <w:r w:rsidRPr="002908A7">
        <w:t>Todas las comunicaciones se enviarán al correo electrónico registrado por la ECA en la plataforma Gestión INEFOP.</w:t>
      </w:r>
    </w:p>
    <w:p w14:paraId="76E92CEC" w14:textId="77777777" w:rsidR="002908A7" w:rsidRPr="002908A7" w:rsidRDefault="002908A7" w:rsidP="00BE6CF3">
      <w:pPr>
        <w:pStyle w:val="SUBTITULOS1"/>
      </w:pPr>
      <w:r w:rsidRPr="002908A7">
        <w:t>¿Cómo se aprueba la renovación?</w:t>
      </w:r>
    </w:p>
    <w:p w14:paraId="2E149383" w14:textId="3FDB38D3" w:rsidR="002908A7" w:rsidRPr="002908A7" w:rsidRDefault="002908A7" w:rsidP="002908A7">
      <w:r w:rsidRPr="002908A7">
        <w:t xml:space="preserve">Las solicitudes que cumplan </w:t>
      </w:r>
      <w:r w:rsidR="0075211D">
        <w:t>con la totalidad de</w:t>
      </w:r>
      <w:r w:rsidRPr="002908A7">
        <w:t xml:space="preserve"> condiciones </w:t>
      </w:r>
      <w:r w:rsidR="0075211D">
        <w:t>descritas en este documento</w:t>
      </w:r>
      <w:r w:rsidRPr="002908A7">
        <w:t xml:space="preserve"> serán elevadas al Consejo Directivo de INEFOP para su consideración y aprobación.</w:t>
      </w:r>
      <w:r w:rsidR="00217A28">
        <w:t xml:space="preserve"> </w:t>
      </w:r>
    </w:p>
    <w:p w14:paraId="0978B5EE" w14:textId="66FA47F1" w:rsidR="00414F80" w:rsidRDefault="00714197">
      <w:r>
        <w:lastRenderedPageBreak/>
        <w:t xml:space="preserve">Para más información y detalle </w:t>
      </w:r>
      <w:r w:rsidR="0073236E">
        <w:t>sobre el mecanismo consultar el documento “Mecanismo de renovación de proyectos de Formación Dual”.</w:t>
      </w:r>
    </w:p>
    <w:sectPr w:rsidR="00414F80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8763F" w14:textId="77777777" w:rsidR="00520952" w:rsidRDefault="00520952" w:rsidP="005C56EA">
      <w:pPr>
        <w:spacing w:after="0" w:line="240" w:lineRule="auto"/>
      </w:pPr>
      <w:r>
        <w:separator/>
      </w:r>
    </w:p>
  </w:endnote>
  <w:endnote w:type="continuationSeparator" w:id="0">
    <w:p w14:paraId="799C1A25" w14:textId="77777777" w:rsidR="00520952" w:rsidRDefault="00520952" w:rsidP="005C5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Light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D0506" w14:textId="77777777" w:rsidR="00520952" w:rsidRDefault="00520952" w:rsidP="005C56EA">
      <w:pPr>
        <w:spacing w:after="0" w:line="240" w:lineRule="auto"/>
      </w:pPr>
      <w:r>
        <w:separator/>
      </w:r>
    </w:p>
  </w:footnote>
  <w:footnote w:type="continuationSeparator" w:id="0">
    <w:p w14:paraId="2D90AA42" w14:textId="77777777" w:rsidR="00520952" w:rsidRDefault="00520952" w:rsidP="005C5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0258A" w14:textId="5E8C7701" w:rsidR="005C56EA" w:rsidRDefault="005C56EA" w:rsidP="005C56EA">
    <w:pPr>
      <w:pStyle w:val="Encabezado"/>
      <w:jc w:val="right"/>
    </w:pPr>
    <w:r>
      <w:rPr>
        <w:noProof/>
      </w:rPr>
      <w:drawing>
        <wp:inline distT="0" distB="0" distL="0" distR="0" wp14:anchorId="4DBE5833" wp14:editId="683584EC">
          <wp:extent cx="941291" cy="285575"/>
          <wp:effectExtent l="0" t="0" r="0" b="635"/>
          <wp:docPr id="155551995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519952" name="Imagen 15555199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960512" cy="291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6572"/>
    <w:multiLevelType w:val="multilevel"/>
    <w:tmpl w:val="322C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06978"/>
    <w:multiLevelType w:val="multilevel"/>
    <w:tmpl w:val="B68C9308"/>
    <w:lvl w:ilvl="0">
      <w:start w:val="1"/>
      <w:numFmt w:val="decimal"/>
      <w:lvlText w:val="%1."/>
      <w:lvlJc w:val="left"/>
      <w:pPr>
        <w:ind w:left="454" w:hanging="454"/>
      </w:pPr>
      <w:rPr>
        <w:rFonts w:ascii="Aptos" w:hAnsi="Aptos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7D0363D"/>
    <w:multiLevelType w:val="multilevel"/>
    <w:tmpl w:val="9F4E1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0F7F1F"/>
    <w:multiLevelType w:val="multilevel"/>
    <w:tmpl w:val="18D0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3B1064"/>
    <w:multiLevelType w:val="hybridMultilevel"/>
    <w:tmpl w:val="20129354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D71C2"/>
    <w:multiLevelType w:val="multilevel"/>
    <w:tmpl w:val="75D29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w w:val="100"/>
        <w:kern w:val="16"/>
        <w:position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D710493"/>
    <w:multiLevelType w:val="multilevel"/>
    <w:tmpl w:val="55341A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0314D0"/>
    <w:multiLevelType w:val="multilevel"/>
    <w:tmpl w:val="3F54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73421C"/>
    <w:multiLevelType w:val="multilevel"/>
    <w:tmpl w:val="B820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9A6B88"/>
    <w:multiLevelType w:val="multilevel"/>
    <w:tmpl w:val="4DE0F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5615C0"/>
    <w:multiLevelType w:val="multilevel"/>
    <w:tmpl w:val="2F34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D2F0E"/>
    <w:multiLevelType w:val="multilevel"/>
    <w:tmpl w:val="E7F6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90111A"/>
    <w:multiLevelType w:val="multilevel"/>
    <w:tmpl w:val="855C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F11194"/>
    <w:multiLevelType w:val="multilevel"/>
    <w:tmpl w:val="4DE0F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E460C9"/>
    <w:multiLevelType w:val="multilevel"/>
    <w:tmpl w:val="B04A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DD5A66"/>
    <w:multiLevelType w:val="multilevel"/>
    <w:tmpl w:val="7938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AA75B5"/>
    <w:multiLevelType w:val="multilevel"/>
    <w:tmpl w:val="04C2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E174F2"/>
    <w:multiLevelType w:val="multilevel"/>
    <w:tmpl w:val="7756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0F630D"/>
    <w:multiLevelType w:val="multilevel"/>
    <w:tmpl w:val="780C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D054F3"/>
    <w:multiLevelType w:val="multilevel"/>
    <w:tmpl w:val="85F0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BD49A4"/>
    <w:multiLevelType w:val="multilevel"/>
    <w:tmpl w:val="C71E4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CA67CC"/>
    <w:multiLevelType w:val="multilevel"/>
    <w:tmpl w:val="ACD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0981773">
    <w:abstractNumId w:val="16"/>
  </w:num>
  <w:num w:numId="2" w16cid:durableId="1142961086">
    <w:abstractNumId w:val="19"/>
  </w:num>
  <w:num w:numId="3" w16cid:durableId="17509290">
    <w:abstractNumId w:val="7"/>
  </w:num>
  <w:num w:numId="4" w16cid:durableId="1275792464">
    <w:abstractNumId w:val="14"/>
  </w:num>
  <w:num w:numId="5" w16cid:durableId="775641071">
    <w:abstractNumId w:val="3"/>
  </w:num>
  <w:num w:numId="6" w16cid:durableId="481312143">
    <w:abstractNumId w:val="8"/>
  </w:num>
  <w:num w:numId="7" w16cid:durableId="1748841353">
    <w:abstractNumId w:val="15"/>
  </w:num>
  <w:num w:numId="8" w16cid:durableId="1154226375">
    <w:abstractNumId w:val="6"/>
  </w:num>
  <w:num w:numId="9" w16cid:durableId="2082831771">
    <w:abstractNumId w:val="5"/>
  </w:num>
  <w:num w:numId="10" w16cid:durableId="1244685829">
    <w:abstractNumId w:val="1"/>
  </w:num>
  <w:num w:numId="11" w16cid:durableId="545022942">
    <w:abstractNumId w:val="4"/>
  </w:num>
  <w:num w:numId="12" w16cid:durableId="1598294840">
    <w:abstractNumId w:val="10"/>
  </w:num>
  <w:num w:numId="13" w16cid:durableId="2101827598">
    <w:abstractNumId w:val="2"/>
  </w:num>
  <w:num w:numId="14" w16cid:durableId="476798853">
    <w:abstractNumId w:val="18"/>
  </w:num>
  <w:num w:numId="15" w16cid:durableId="74129138">
    <w:abstractNumId w:val="12"/>
  </w:num>
  <w:num w:numId="16" w16cid:durableId="2061128438">
    <w:abstractNumId w:val="17"/>
  </w:num>
  <w:num w:numId="17" w16cid:durableId="1091194963">
    <w:abstractNumId w:val="21"/>
  </w:num>
  <w:num w:numId="18" w16cid:durableId="1814834135">
    <w:abstractNumId w:val="11"/>
  </w:num>
  <w:num w:numId="19" w16cid:durableId="544561494">
    <w:abstractNumId w:val="0"/>
  </w:num>
  <w:num w:numId="20" w16cid:durableId="238057273">
    <w:abstractNumId w:val="20"/>
  </w:num>
  <w:num w:numId="21" w16cid:durableId="478885518">
    <w:abstractNumId w:val="9"/>
  </w:num>
  <w:num w:numId="22" w16cid:durableId="629901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attachedTemplate r:id="rId1"/>
  <w:linkStyl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0C"/>
    <w:rsid w:val="0000191D"/>
    <w:rsid w:val="000237E3"/>
    <w:rsid w:val="00034B0D"/>
    <w:rsid w:val="00045E74"/>
    <w:rsid w:val="00080E92"/>
    <w:rsid w:val="00080F18"/>
    <w:rsid w:val="0008792F"/>
    <w:rsid w:val="000C07CE"/>
    <w:rsid w:val="000C1F84"/>
    <w:rsid w:val="000F2498"/>
    <w:rsid w:val="000F4796"/>
    <w:rsid w:val="00165DC3"/>
    <w:rsid w:val="00193DCC"/>
    <w:rsid w:val="001B7C12"/>
    <w:rsid w:val="001D7C16"/>
    <w:rsid w:val="001F1645"/>
    <w:rsid w:val="001F42B6"/>
    <w:rsid w:val="001F7FAF"/>
    <w:rsid w:val="00203B63"/>
    <w:rsid w:val="00205E25"/>
    <w:rsid w:val="00217A28"/>
    <w:rsid w:val="00220DA9"/>
    <w:rsid w:val="00223A34"/>
    <w:rsid w:val="002309BF"/>
    <w:rsid w:val="00252229"/>
    <w:rsid w:val="002908A7"/>
    <w:rsid w:val="002A32BE"/>
    <w:rsid w:val="002C449D"/>
    <w:rsid w:val="002C74F8"/>
    <w:rsid w:val="002C7870"/>
    <w:rsid w:val="002D31FB"/>
    <w:rsid w:val="002D6584"/>
    <w:rsid w:val="002E2CBC"/>
    <w:rsid w:val="002F57A8"/>
    <w:rsid w:val="002F6484"/>
    <w:rsid w:val="0030218B"/>
    <w:rsid w:val="00303423"/>
    <w:rsid w:val="00345062"/>
    <w:rsid w:val="00351701"/>
    <w:rsid w:val="00352265"/>
    <w:rsid w:val="003571F8"/>
    <w:rsid w:val="00357909"/>
    <w:rsid w:val="00362276"/>
    <w:rsid w:val="00375581"/>
    <w:rsid w:val="0038261E"/>
    <w:rsid w:val="003C52F0"/>
    <w:rsid w:val="003D01D2"/>
    <w:rsid w:val="003D2A13"/>
    <w:rsid w:val="003F5D70"/>
    <w:rsid w:val="00400A0C"/>
    <w:rsid w:val="00412C0E"/>
    <w:rsid w:val="00414F80"/>
    <w:rsid w:val="00436CA4"/>
    <w:rsid w:val="0045225A"/>
    <w:rsid w:val="0046047A"/>
    <w:rsid w:val="00484FD9"/>
    <w:rsid w:val="004A45CC"/>
    <w:rsid w:val="004C001E"/>
    <w:rsid w:val="004E1B07"/>
    <w:rsid w:val="004F5F80"/>
    <w:rsid w:val="00504BF4"/>
    <w:rsid w:val="005104CA"/>
    <w:rsid w:val="00516A26"/>
    <w:rsid w:val="00520952"/>
    <w:rsid w:val="0053374D"/>
    <w:rsid w:val="00537336"/>
    <w:rsid w:val="00570846"/>
    <w:rsid w:val="00593BAC"/>
    <w:rsid w:val="00596B38"/>
    <w:rsid w:val="005A2F88"/>
    <w:rsid w:val="005B047A"/>
    <w:rsid w:val="005B3857"/>
    <w:rsid w:val="005C30CD"/>
    <w:rsid w:val="005C56EA"/>
    <w:rsid w:val="00615042"/>
    <w:rsid w:val="006334D1"/>
    <w:rsid w:val="0063520D"/>
    <w:rsid w:val="0064703D"/>
    <w:rsid w:val="006505ED"/>
    <w:rsid w:val="00671264"/>
    <w:rsid w:val="006730C6"/>
    <w:rsid w:val="006831F1"/>
    <w:rsid w:val="006856A2"/>
    <w:rsid w:val="00692DE3"/>
    <w:rsid w:val="00714197"/>
    <w:rsid w:val="007169BF"/>
    <w:rsid w:val="00720718"/>
    <w:rsid w:val="0073236E"/>
    <w:rsid w:val="00732C2C"/>
    <w:rsid w:val="007432B5"/>
    <w:rsid w:val="0075211D"/>
    <w:rsid w:val="00753D9A"/>
    <w:rsid w:val="007677F3"/>
    <w:rsid w:val="00795AC5"/>
    <w:rsid w:val="007A3172"/>
    <w:rsid w:val="007A6C34"/>
    <w:rsid w:val="007C005E"/>
    <w:rsid w:val="007C42C7"/>
    <w:rsid w:val="007C48D9"/>
    <w:rsid w:val="007D148F"/>
    <w:rsid w:val="007D24DF"/>
    <w:rsid w:val="007E1857"/>
    <w:rsid w:val="00802660"/>
    <w:rsid w:val="00803DAA"/>
    <w:rsid w:val="008068CC"/>
    <w:rsid w:val="00824164"/>
    <w:rsid w:val="00837956"/>
    <w:rsid w:val="00841AAE"/>
    <w:rsid w:val="0086275D"/>
    <w:rsid w:val="00870F3F"/>
    <w:rsid w:val="008C42D0"/>
    <w:rsid w:val="008D02F4"/>
    <w:rsid w:val="008F2E01"/>
    <w:rsid w:val="008F44FD"/>
    <w:rsid w:val="008F4E39"/>
    <w:rsid w:val="00905EFD"/>
    <w:rsid w:val="009125C8"/>
    <w:rsid w:val="00913A11"/>
    <w:rsid w:val="00922F78"/>
    <w:rsid w:val="00952E6D"/>
    <w:rsid w:val="00955C9E"/>
    <w:rsid w:val="0096404C"/>
    <w:rsid w:val="009659BA"/>
    <w:rsid w:val="00966BB5"/>
    <w:rsid w:val="00976D03"/>
    <w:rsid w:val="0097725C"/>
    <w:rsid w:val="00981734"/>
    <w:rsid w:val="009A2A2D"/>
    <w:rsid w:val="009B25F7"/>
    <w:rsid w:val="009C29D5"/>
    <w:rsid w:val="009D5ACA"/>
    <w:rsid w:val="009E24B5"/>
    <w:rsid w:val="00A05D23"/>
    <w:rsid w:val="00A26FB0"/>
    <w:rsid w:val="00A329C2"/>
    <w:rsid w:val="00A33B0E"/>
    <w:rsid w:val="00A45B13"/>
    <w:rsid w:val="00A66951"/>
    <w:rsid w:val="00A7668E"/>
    <w:rsid w:val="00A771C6"/>
    <w:rsid w:val="00A86313"/>
    <w:rsid w:val="00A86748"/>
    <w:rsid w:val="00A92B56"/>
    <w:rsid w:val="00AB0498"/>
    <w:rsid w:val="00AB0FDC"/>
    <w:rsid w:val="00AC0ABC"/>
    <w:rsid w:val="00AE0DD3"/>
    <w:rsid w:val="00AE1587"/>
    <w:rsid w:val="00AF1C61"/>
    <w:rsid w:val="00AF285A"/>
    <w:rsid w:val="00B470BF"/>
    <w:rsid w:val="00B74420"/>
    <w:rsid w:val="00B969FB"/>
    <w:rsid w:val="00BA455B"/>
    <w:rsid w:val="00BC1933"/>
    <w:rsid w:val="00BC64C9"/>
    <w:rsid w:val="00BD53A7"/>
    <w:rsid w:val="00BE07CB"/>
    <w:rsid w:val="00BE6CF3"/>
    <w:rsid w:val="00BF2769"/>
    <w:rsid w:val="00C20ECC"/>
    <w:rsid w:val="00C4631F"/>
    <w:rsid w:val="00C54ECD"/>
    <w:rsid w:val="00C677D0"/>
    <w:rsid w:val="00C7378B"/>
    <w:rsid w:val="00C90083"/>
    <w:rsid w:val="00C9257E"/>
    <w:rsid w:val="00CC6025"/>
    <w:rsid w:val="00CE7AF9"/>
    <w:rsid w:val="00D04CC2"/>
    <w:rsid w:val="00D17ADE"/>
    <w:rsid w:val="00D278C9"/>
    <w:rsid w:val="00D33F98"/>
    <w:rsid w:val="00D63A31"/>
    <w:rsid w:val="00D63AC1"/>
    <w:rsid w:val="00D6437D"/>
    <w:rsid w:val="00D82C9B"/>
    <w:rsid w:val="00DA0818"/>
    <w:rsid w:val="00DA436E"/>
    <w:rsid w:val="00DB1078"/>
    <w:rsid w:val="00DB23A0"/>
    <w:rsid w:val="00DD0C57"/>
    <w:rsid w:val="00E23104"/>
    <w:rsid w:val="00E44867"/>
    <w:rsid w:val="00E63325"/>
    <w:rsid w:val="00E74EA3"/>
    <w:rsid w:val="00E94D5D"/>
    <w:rsid w:val="00EA3946"/>
    <w:rsid w:val="00EA3E18"/>
    <w:rsid w:val="00EA6964"/>
    <w:rsid w:val="00EA7A7C"/>
    <w:rsid w:val="00EB062D"/>
    <w:rsid w:val="00EC10C7"/>
    <w:rsid w:val="00EC2FDB"/>
    <w:rsid w:val="00EC7853"/>
    <w:rsid w:val="00ED591E"/>
    <w:rsid w:val="00EF7CA2"/>
    <w:rsid w:val="00F64DD1"/>
    <w:rsid w:val="00F8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ED72F"/>
  <w15:chartTrackingRefBased/>
  <w15:docId w15:val="{DF1640D1-AD18-4285-AE44-6C0F9C1A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3A7"/>
    <w:pPr>
      <w:spacing w:line="259" w:lineRule="auto"/>
    </w:pPr>
    <w:rPr>
      <w:rFonts w:ascii="Aptos Light" w:hAnsi="Aptos Light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647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47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47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47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47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47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7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7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7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70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647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64703D"/>
    <w:rPr>
      <w:rFonts w:ascii="Aptos Light" w:eastAsiaTheme="majorEastAsia" w:hAnsi="Aptos Light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4703D"/>
    <w:rPr>
      <w:rFonts w:ascii="Aptos Light" w:eastAsiaTheme="majorEastAsia" w:hAnsi="Aptos Light" w:cstheme="majorBidi"/>
      <w:i/>
      <w:iCs/>
      <w:color w:val="0F4761" w:themeColor="accent1" w:themeShade="BF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703D"/>
    <w:rPr>
      <w:rFonts w:ascii="Aptos Light" w:eastAsiaTheme="majorEastAsia" w:hAnsi="Aptos Light" w:cstheme="majorBidi"/>
      <w:color w:val="0F4761" w:themeColor="accent1" w:themeShade="BF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4703D"/>
    <w:rPr>
      <w:rFonts w:ascii="Aptos Light" w:eastAsiaTheme="majorEastAsia" w:hAnsi="Aptos Light" w:cstheme="majorBidi"/>
      <w:i/>
      <w:iCs/>
      <w:color w:val="595959" w:themeColor="text1" w:themeTint="A6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703D"/>
    <w:rPr>
      <w:rFonts w:ascii="Aptos Light" w:eastAsiaTheme="majorEastAsia" w:hAnsi="Aptos Light" w:cstheme="majorBidi"/>
      <w:color w:val="595959" w:themeColor="text1" w:themeTint="A6"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703D"/>
    <w:rPr>
      <w:rFonts w:ascii="Aptos Light" w:eastAsiaTheme="majorEastAsia" w:hAnsi="Aptos Light" w:cstheme="majorBidi"/>
      <w:i/>
      <w:iCs/>
      <w:color w:val="272727" w:themeColor="text1" w:themeTint="D8"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703D"/>
    <w:rPr>
      <w:rFonts w:ascii="Aptos Light" w:eastAsiaTheme="majorEastAsia" w:hAnsi="Aptos Light" w:cstheme="majorBidi"/>
      <w:color w:val="272727" w:themeColor="text1" w:themeTint="D8"/>
      <w:sz w:val="22"/>
      <w:szCs w:val="22"/>
    </w:rPr>
  </w:style>
  <w:style w:type="paragraph" w:styleId="Ttulo">
    <w:name w:val="Title"/>
    <w:basedOn w:val="Normal"/>
    <w:next w:val="Normal"/>
    <w:link w:val="TtuloCar"/>
    <w:uiPriority w:val="10"/>
    <w:qFormat/>
    <w:rsid w:val="00647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47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47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4703D"/>
    <w:rPr>
      <w:rFonts w:ascii="Aptos Light" w:eastAsiaTheme="majorEastAsia" w:hAnsi="Aptos Light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7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703D"/>
    <w:rPr>
      <w:rFonts w:ascii="Aptos Light" w:hAnsi="Aptos Light"/>
      <w:i/>
      <w:iCs/>
      <w:color w:val="404040" w:themeColor="text1" w:themeTint="BF"/>
      <w:sz w:val="22"/>
      <w:szCs w:val="22"/>
    </w:rPr>
  </w:style>
  <w:style w:type="paragraph" w:styleId="Prrafodelista">
    <w:name w:val="List Paragraph"/>
    <w:basedOn w:val="Normal"/>
    <w:uiPriority w:val="34"/>
    <w:qFormat/>
    <w:rsid w:val="006470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70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7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703D"/>
    <w:rPr>
      <w:rFonts w:ascii="Aptos Light" w:hAnsi="Aptos Light"/>
      <w:i/>
      <w:iCs/>
      <w:color w:val="0F4761" w:themeColor="accent1" w:themeShade="BF"/>
      <w:sz w:val="22"/>
      <w:szCs w:val="22"/>
    </w:rPr>
  </w:style>
  <w:style w:type="character" w:styleId="Referenciaintensa">
    <w:name w:val="Intense Reference"/>
    <w:basedOn w:val="Fuentedeprrafopredeter"/>
    <w:uiPriority w:val="32"/>
    <w:qFormat/>
    <w:rsid w:val="0064703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470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703D"/>
    <w:rPr>
      <w:rFonts w:ascii="Aptos Light" w:hAnsi="Aptos Light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6470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703D"/>
    <w:rPr>
      <w:rFonts w:ascii="Aptos Light" w:hAnsi="Aptos Light"/>
      <w:sz w:val="22"/>
      <w:szCs w:val="22"/>
    </w:rPr>
  </w:style>
  <w:style w:type="paragraph" w:styleId="Textoindependiente">
    <w:name w:val="Body Text"/>
    <w:basedOn w:val="Normal"/>
    <w:link w:val="TextoindependienteCar"/>
    <w:qFormat/>
    <w:rsid w:val="007C005E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7C005E"/>
    <w:rPr>
      <w:kern w:val="0"/>
      <w:lang w:val="en-US"/>
      <w14:ligatures w14:val="none"/>
    </w:rPr>
  </w:style>
  <w:style w:type="paragraph" w:customStyle="1" w:styleId="FirstParagraph">
    <w:name w:val="First Paragraph"/>
    <w:basedOn w:val="Textoindependiente"/>
    <w:next w:val="Textoindependiente"/>
    <w:qFormat/>
    <w:rsid w:val="007C005E"/>
  </w:style>
  <w:style w:type="paragraph" w:styleId="Textonotapie">
    <w:name w:val="footnote text"/>
    <w:basedOn w:val="Normal"/>
    <w:link w:val="TextonotapieCar"/>
    <w:uiPriority w:val="99"/>
    <w:semiHidden/>
    <w:unhideWhenUsed/>
    <w:rsid w:val="0064703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4703D"/>
    <w:rPr>
      <w:rFonts w:ascii="Aptos Light" w:hAnsi="Aptos Light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4703D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D278C9"/>
    <w:rPr>
      <w:i/>
      <w:iCs/>
    </w:rPr>
  </w:style>
  <w:style w:type="character" w:styleId="nfasissutil">
    <w:name w:val="Subtle Emphasis"/>
    <w:basedOn w:val="Fuentedeprrafopredeter"/>
    <w:uiPriority w:val="19"/>
    <w:qFormat/>
    <w:rsid w:val="00D278C9"/>
    <w:rPr>
      <w:i/>
      <w:iCs/>
      <w:color w:val="404040" w:themeColor="text1" w:themeTint="BF"/>
    </w:rPr>
  </w:style>
  <w:style w:type="paragraph" w:customStyle="1" w:styleId="SUBTITULOS1">
    <w:name w:val="SUBTITULOS 1"/>
    <w:basedOn w:val="Normal"/>
    <w:next w:val="Normal"/>
    <w:link w:val="SUBTITULOS1Car"/>
    <w:qFormat/>
    <w:rsid w:val="00BD53A7"/>
    <w:pPr>
      <w:spacing w:before="480" w:after="40"/>
      <w:outlineLvl w:val="0"/>
    </w:pPr>
    <w:rPr>
      <w:rFonts w:ascii="Aptos" w:hAnsi="Aptos"/>
      <w:b/>
      <w:color w:val="0B769F" w:themeColor="accent4" w:themeShade="BF"/>
      <w:kern w:val="0"/>
      <w:lang w:val="es-ES"/>
    </w:rPr>
  </w:style>
  <w:style w:type="character" w:customStyle="1" w:styleId="SUBTITULOS1Car">
    <w:name w:val="SUBTITULOS 1 Car"/>
    <w:basedOn w:val="Fuentedeprrafopredeter"/>
    <w:link w:val="SUBTITULOS1"/>
    <w:rsid w:val="00E74EA3"/>
    <w:rPr>
      <w:rFonts w:ascii="Aptos" w:hAnsi="Aptos"/>
      <w:b/>
      <w:color w:val="0B769F" w:themeColor="accent4" w:themeShade="BF"/>
      <w:kern w:val="0"/>
      <w:sz w:val="22"/>
      <w:szCs w:val="22"/>
      <w:lang w:val="es-ES"/>
    </w:rPr>
  </w:style>
  <w:style w:type="paragraph" w:customStyle="1" w:styleId="SUBTITULOS2">
    <w:name w:val="SUBTITULOS 2"/>
    <w:next w:val="Normal"/>
    <w:link w:val="SUBTITULOS2Car"/>
    <w:qFormat/>
    <w:rsid w:val="0064703D"/>
    <w:pPr>
      <w:spacing w:before="200" w:after="80" w:line="240" w:lineRule="auto"/>
    </w:pPr>
    <w:rPr>
      <w:rFonts w:ascii="Aptos" w:hAnsi="Aptos"/>
      <w:color w:val="595959" w:themeColor="text1" w:themeTint="A6"/>
      <w:kern w:val="0"/>
      <w:sz w:val="22"/>
      <w:szCs w:val="22"/>
      <w:lang w:val="es-ES"/>
    </w:rPr>
  </w:style>
  <w:style w:type="character" w:customStyle="1" w:styleId="SUBTITULOS2Car">
    <w:name w:val="SUBTITULOS 2 Car"/>
    <w:basedOn w:val="Fuentedeprrafopredeter"/>
    <w:link w:val="SUBTITULOS2"/>
    <w:qFormat/>
    <w:rsid w:val="0064703D"/>
    <w:rPr>
      <w:rFonts w:ascii="Aptos" w:hAnsi="Aptos"/>
      <w:color w:val="595959" w:themeColor="text1" w:themeTint="A6"/>
      <w:kern w:val="0"/>
      <w:sz w:val="22"/>
      <w:szCs w:val="22"/>
      <w:lang w:val="es-ES"/>
    </w:rPr>
  </w:style>
  <w:style w:type="paragraph" w:customStyle="1" w:styleId="SECCIONES">
    <w:name w:val="SECCIONES"/>
    <w:basedOn w:val="Normal"/>
    <w:next w:val="Normal"/>
    <w:link w:val="SECCIONESCar"/>
    <w:qFormat/>
    <w:rsid w:val="0064703D"/>
    <w:pPr>
      <w:spacing w:before="600" w:after="720"/>
    </w:pPr>
    <w:rPr>
      <w:rFonts w:ascii="Aptos" w:hAnsi="Aptos"/>
      <w:b/>
      <w:bCs/>
      <w:color w:val="0B769F" w:themeColor="accent4" w:themeShade="BF"/>
      <w:kern w:val="0"/>
      <w:sz w:val="32"/>
      <w:szCs w:val="28"/>
      <w:lang w:val="es-ES"/>
    </w:rPr>
  </w:style>
  <w:style w:type="character" w:customStyle="1" w:styleId="SECCIONESCar">
    <w:name w:val="SECCIONES Car"/>
    <w:basedOn w:val="Fuentedeprrafopredeter"/>
    <w:link w:val="SECCIONES"/>
    <w:rsid w:val="0064703D"/>
    <w:rPr>
      <w:rFonts w:ascii="Aptos" w:hAnsi="Aptos"/>
      <w:b/>
      <w:bCs/>
      <w:color w:val="0B769F" w:themeColor="accent4" w:themeShade="BF"/>
      <w:kern w:val="0"/>
      <w:sz w:val="32"/>
      <w:szCs w:val="28"/>
      <w:lang w:val="es-ES"/>
    </w:rPr>
  </w:style>
  <w:style w:type="paragraph" w:customStyle="1" w:styleId="CUERPODETDR">
    <w:name w:val="CUERPO DE TDR"/>
    <w:next w:val="Normal"/>
    <w:link w:val="CUERPODETDRCar"/>
    <w:qFormat/>
    <w:rsid w:val="0064703D"/>
    <w:pPr>
      <w:spacing w:line="288" w:lineRule="auto"/>
    </w:pPr>
    <w:rPr>
      <w:rFonts w:ascii="Cambria" w:hAnsi="Cambria"/>
      <w:color w:val="262626" w:themeColor="text1" w:themeTint="D9"/>
      <w:kern w:val="0"/>
      <w:sz w:val="22"/>
      <w:szCs w:val="22"/>
      <w:lang w:val="es-ES_tradnl"/>
    </w:rPr>
  </w:style>
  <w:style w:type="character" w:customStyle="1" w:styleId="CUERPODETDRCar">
    <w:name w:val="CUERPO DE TDR Car"/>
    <w:basedOn w:val="Fuentedeprrafopredeter"/>
    <w:link w:val="CUERPODETDR"/>
    <w:qFormat/>
    <w:rsid w:val="0064703D"/>
    <w:rPr>
      <w:rFonts w:ascii="Cambria" w:hAnsi="Cambria"/>
      <w:color w:val="262626" w:themeColor="text1" w:themeTint="D9"/>
      <w:kern w:val="0"/>
      <w:sz w:val="22"/>
      <w:szCs w:val="22"/>
      <w:lang w:val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64703D"/>
    <w:pPr>
      <w:spacing w:before="240" w:after="0"/>
      <w:outlineLvl w:val="9"/>
    </w:pPr>
    <w:rPr>
      <w:kern w:val="0"/>
      <w:sz w:val="32"/>
      <w:szCs w:val="32"/>
      <w:lang w:eastAsia="es-UY"/>
    </w:rPr>
  </w:style>
  <w:style w:type="paragraph" w:styleId="TDC1">
    <w:name w:val="toc 1"/>
    <w:basedOn w:val="Normal"/>
    <w:next w:val="Normal"/>
    <w:autoRedefine/>
    <w:uiPriority w:val="39"/>
    <w:unhideWhenUsed/>
    <w:rsid w:val="0064703D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64703D"/>
    <w:rPr>
      <w:color w:val="467886" w:themeColor="hyperlink"/>
      <w:u w:val="single"/>
    </w:rPr>
  </w:style>
  <w:style w:type="paragraph" w:styleId="Revisin">
    <w:name w:val="Revision"/>
    <w:hidden/>
    <w:uiPriority w:val="99"/>
    <w:semiHidden/>
    <w:rsid w:val="0008792F"/>
    <w:pPr>
      <w:spacing w:after="0" w:line="240" w:lineRule="auto"/>
    </w:pPr>
    <w:rPr>
      <w:rFonts w:ascii="Aptos Light" w:hAnsi="Aptos Light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D04C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04C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04CC2"/>
    <w:rPr>
      <w:rFonts w:ascii="Aptos Light" w:hAnsi="Aptos Light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04C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04CC2"/>
    <w:rPr>
      <w:rFonts w:ascii="Aptos Light" w:hAnsi="Aptos Light"/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2908A7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0F249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quisiciones@inefop.org.u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s.cloud.microsoft/r/h6Th2cATU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cloud.microsoft/r/h6Th2cATU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sommer\OneDrive%20-%20Instituto%20Nacional%20de%20Empleo%20y%20Formaci&#243;n%20Profesional\Documentos%20-%20Unidad%20de%20Adquisiciones\Estilos%20Unidad%20de%20Adquisi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c4de91-68ad-4edb-9627-8f1b6e64c4db">
      <Terms xmlns="http://schemas.microsoft.com/office/infopath/2007/PartnerControls"/>
    </lcf76f155ced4ddcb4097134ff3c332f>
    <TaxCatchAll xmlns="d815630e-6fae-40ed-8de6-d65b8f6b69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FDF6156ADEDA48BDDFE69FCEEFDD6F" ma:contentTypeVersion="15" ma:contentTypeDescription="Crear nuevo documento." ma:contentTypeScope="" ma:versionID="40aacfa40e776d1bf0d0ad0aaad6f2cf">
  <xsd:schema xmlns:xsd="http://www.w3.org/2001/XMLSchema" xmlns:xs="http://www.w3.org/2001/XMLSchema" xmlns:p="http://schemas.microsoft.com/office/2006/metadata/properties" xmlns:ns2="38c4de91-68ad-4edb-9627-8f1b6e64c4db" xmlns:ns3="d815630e-6fae-40ed-8de6-d65b8f6b6963" targetNamespace="http://schemas.microsoft.com/office/2006/metadata/properties" ma:root="true" ma:fieldsID="2ba9faa9444ef9c52ed903942c37c06c" ns2:_="" ns3:_="">
    <xsd:import namespace="38c4de91-68ad-4edb-9627-8f1b6e64c4db"/>
    <xsd:import namespace="d815630e-6fae-40ed-8de6-d65b8f6b69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4de91-68ad-4edb-9627-8f1b6e64c4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8ad85f51-9230-4a91-a537-1101e7b27e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5630e-6fae-40ed-8de6-d65b8f6b696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50ebe50-8bf1-4fd6-bfb7-49ac1edc70d1}" ma:internalName="TaxCatchAll" ma:showField="CatchAllData" ma:web="d815630e-6fae-40ed-8de6-d65b8f6b69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18C0D-BA21-4445-8D2D-588DF76842E0}">
  <ds:schemaRefs>
    <ds:schemaRef ds:uri="http://schemas.microsoft.com/office/2006/metadata/properties"/>
    <ds:schemaRef ds:uri="http://schemas.microsoft.com/office/infopath/2007/PartnerControls"/>
    <ds:schemaRef ds:uri="38c4de91-68ad-4edb-9627-8f1b6e64c4db"/>
    <ds:schemaRef ds:uri="d815630e-6fae-40ed-8de6-d65b8f6b6963"/>
  </ds:schemaRefs>
</ds:datastoreItem>
</file>

<file path=customXml/itemProps2.xml><?xml version="1.0" encoding="utf-8"?>
<ds:datastoreItem xmlns:ds="http://schemas.openxmlformats.org/officeDocument/2006/customXml" ds:itemID="{F96CF355-F56F-46C5-9698-0D71F9FE51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A065C1-776E-4025-AAFD-E2C410EB8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4de91-68ad-4edb-9627-8f1b6e64c4db"/>
    <ds:schemaRef ds:uri="d815630e-6fae-40ed-8de6-d65b8f6b69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AED70D-2F6B-4558-9435-793EF990F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Estilos Unidad de Adquisiciones</Template>
  <TotalTime>0</TotalTime>
  <Pages>4</Pages>
  <Words>1007</Words>
  <Characters>5542</Characters>
  <Application>Microsoft Office Word</Application>
  <DocSecurity>0</DocSecurity>
  <Lines>46</Lines>
  <Paragraphs>13</Paragraphs>
  <ScaleCrop>false</ScaleCrop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Agustina Piuma - Externo</dc:creator>
  <cp:keywords/>
  <dc:description/>
  <cp:lastModifiedBy>Agustina Piuma - Externo</cp:lastModifiedBy>
  <cp:revision>2</cp:revision>
  <dcterms:created xsi:type="dcterms:W3CDTF">2026-08-20T17:43:00Z</dcterms:created>
  <dcterms:modified xsi:type="dcterms:W3CDTF">2026-08-20T17:43:00Z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0x0101000AFDF6156ADEDA48BDDFE69FCEEFDD6F</vt:lpwstr>
  </property>
  <property fmtid="{D5CDD505-2E9C-101B-9397-08002B2CF9AE}" pid="3" name="MediaServiceImageTags">
    <vt:lpwstr/>
  </property>
</Properties>
</file>